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5385457B" w:rsidR="001F5915" w:rsidRDefault="00F868A7">
            <w:pPr>
              <w:spacing w:before="60" w:after="60"/>
            </w:pPr>
            <w:r>
              <w:t xml:space="preserve">Serwis nie zachowuje odpowiednich proporcji kontrastu w przypadku </w:t>
            </w:r>
            <w:r w:rsidR="001B76A9">
              <w:t xml:space="preserve">napisów </w:t>
            </w:r>
            <w:r>
              <w:t>widocznego na białym tle</w:t>
            </w:r>
            <w:r w:rsidR="001B76A9">
              <w:t xml:space="preserve"> i posiadających kolor </w:t>
            </w:r>
            <w:r w:rsidR="006A46F9" w:rsidRPr="006A46F9">
              <w:rPr>
                <w:rFonts w:ascii="Consolas" w:hAnsi="Consolas"/>
                <w:color w:val="202124"/>
                <w:sz w:val="18"/>
                <w:szCs w:val="18"/>
              </w:rPr>
              <w:t xml:space="preserve">#ff6f00 </w:t>
            </w:r>
            <w:r>
              <w:t>(1:</w:t>
            </w:r>
            <w:r w:rsidR="006A46F9">
              <w:t>2,79</w:t>
            </w:r>
            <w:r>
              <w:t>)</w:t>
            </w:r>
          </w:p>
          <w:p w14:paraId="04B1A1C2" w14:textId="60D74F46" w:rsidR="00C21794" w:rsidRDefault="00C21794">
            <w:pPr>
              <w:spacing w:before="60" w:after="60"/>
            </w:pPr>
          </w:p>
          <w:p w14:paraId="21C951C6" w14:textId="4D95BE48"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6009E75D" w:rsidR="001F5915" w:rsidRDefault="00F868A7" w:rsidP="006A46F9">
            <w:pPr>
              <w:widowControl w:val="0"/>
              <w:pBdr>
                <w:top w:val="nil"/>
                <w:left w:val="nil"/>
                <w:bottom w:val="nil"/>
                <w:right w:val="nil"/>
                <w:between w:val="nil"/>
              </w:pBdr>
              <w:spacing w:after="120"/>
              <w:rPr>
                <w:color w:val="FF0000"/>
              </w:rPr>
            </w:pPr>
            <w:r w:rsidRPr="00FE5096">
              <w:t>Serwis wymaga poprawek. Wartości kontrastu osiągają 1:</w:t>
            </w:r>
            <w:r w:rsidR="006A46F9">
              <w:t>2,79</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lastRenderedPageBreak/>
              <w:t>1.4.7 Niska głośność 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t>
            </w:r>
            <w:r>
              <w:rPr>
                <w:color w:val="000000"/>
              </w:rPr>
              <w:lastRenderedPageBreak/>
              <w:t>wymagające przewijania w poziomie takie jak np.: tabele danych, 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lastRenderedPageBreak/>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Grafiki, obrazy i inne media dostosowują się do 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7322B6B9" w14:textId="67B3F0AE" w:rsidR="001F5915" w:rsidRDefault="00C21794">
            <w:pPr>
              <w:widowControl w:val="0"/>
              <w:pBdr>
                <w:top w:val="nil"/>
                <w:left w:val="nil"/>
                <w:bottom w:val="nil"/>
                <w:right w:val="nil"/>
                <w:between w:val="nil"/>
              </w:pBdr>
              <w:spacing w:after="120"/>
              <w:rPr>
                <w:color w:val="000000"/>
              </w:rPr>
            </w:pPr>
            <w:r>
              <w:rPr>
                <w:color w:val="000000"/>
              </w:rPr>
              <w:t xml:space="preserve">TAK </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312099A6" w:rsidR="001F5915" w:rsidRDefault="00C21794">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lastRenderedPageBreak/>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lastRenderedPageBreak/>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2CEA48DC" w14:textId="77777777" w:rsidR="00502BC4" w:rsidRDefault="00F868A7">
            <w:pPr>
              <w:widowControl w:val="0"/>
              <w:pBdr>
                <w:top w:val="nil"/>
                <w:left w:val="nil"/>
                <w:bottom w:val="nil"/>
                <w:right w:val="nil"/>
                <w:between w:val="nil"/>
              </w:pBdr>
              <w:spacing w:after="120"/>
            </w:pPr>
            <w:r>
              <w:rPr>
                <w:color w:val="000000"/>
              </w:rPr>
              <w:t>TAK</w:t>
            </w:r>
            <w:r w:rsidR="00502BC4">
              <w:t xml:space="preserve"> z ograniczeniami</w:t>
            </w:r>
          </w:p>
          <w:p w14:paraId="638CCC6F" w14:textId="4183CE58" w:rsidR="001F5915" w:rsidRDefault="00502BC4" w:rsidP="00502BC4">
            <w:pPr>
              <w:widowControl w:val="0"/>
              <w:pBdr>
                <w:top w:val="nil"/>
                <w:left w:val="nil"/>
                <w:bottom w:val="nil"/>
                <w:right w:val="nil"/>
                <w:between w:val="nil"/>
              </w:pBdr>
              <w:spacing w:after="120"/>
              <w:rPr>
                <w:color w:val="000000"/>
              </w:rPr>
            </w:pPr>
            <w:r>
              <w:rPr>
                <w:color w:val="000000"/>
              </w:rPr>
              <w:t xml:space="preserve">Strona jest w </w:t>
            </w:r>
            <w:proofErr w:type="spellStart"/>
            <w:r w:rsidR="00F868A7">
              <w:rPr>
                <w:color w:val="000000"/>
              </w:rPr>
              <w:t>nawigowalna</w:t>
            </w:r>
            <w:proofErr w:type="spellEnd"/>
            <w:r w:rsidR="00F868A7">
              <w:rPr>
                <w:color w:val="000000"/>
              </w:rPr>
              <w:t xml:space="preserve"> za pomocą klawiatury</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2D321D4D" w:rsidR="001F5915" w:rsidRDefault="00F868A7">
            <w:pPr>
              <w:widowControl w:val="0"/>
              <w:pBdr>
                <w:top w:val="nil"/>
                <w:left w:val="nil"/>
                <w:bottom w:val="nil"/>
                <w:right w:val="nil"/>
                <w:between w:val="nil"/>
              </w:pBdr>
              <w:spacing w:after="120"/>
              <w:rPr>
                <w:color w:val="000000"/>
              </w:rPr>
            </w:pPr>
            <w:r>
              <w:rPr>
                <w:color w:val="000000"/>
              </w:rPr>
              <w:t>TAK</w:t>
            </w:r>
            <w:r w:rsidR="00502BC4">
              <w:rPr>
                <w:color w:val="000000"/>
              </w:rPr>
              <w:t xml:space="preserve"> z ograniczeniami</w:t>
            </w:r>
          </w:p>
          <w:p w14:paraId="2CCA03C9" w14:textId="77777777" w:rsidR="001F5915" w:rsidRDefault="00F868A7">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p w14:paraId="1EFD3150" w14:textId="1BB95E46" w:rsidR="00502BC4" w:rsidRDefault="00502BC4">
            <w:pPr>
              <w:widowControl w:val="0"/>
              <w:pBdr>
                <w:top w:val="nil"/>
                <w:left w:val="nil"/>
                <w:bottom w:val="nil"/>
                <w:right w:val="nil"/>
                <w:between w:val="nil"/>
              </w:pBdr>
              <w:spacing w:after="120"/>
              <w:rPr>
                <w:color w:val="000000"/>
              </w:rPr>
            </w:pPr>
            <w:r>
              <w:rPr>
                <w:color w:val="000000"/>
              </w:rPr>
              <w:t xml:space="preserve">Rozwijane menu na stronie Ogłoszenia o obronach aby ją rozwinąć trzeba użyć myszki. </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3A77A6B8" w14:textId="6843DC08" w:rsidR="001F5915" w:rsidRDefault="00502BC4">
            <w:pPr>
              <w:widowControl w:val="0"/>
              <w:pBdr>
                <w:top w:val="nil"/>
                <w:left w:val="nil"/>
                <w:bottom w:val="nil"/>
                <w:right w:val="nil"/>
                <w:between w:val="nil"/>
              </w:pBdr>
              <w:spacing w:after="120"/>
              <w:rPr>
                <w:color w:val="000000"/>
              </w:rPr>
            </w:pPr>
            <w:r>
              <w:rPr>
                <w:color w:val="000000"/>
              </w:rPr>
              <w:t>NIE</w:t>
            </w:r>
          </w:p>
        </w:tc>
        <w:tc>
          <w:tcPr>
            <w:tcW w:w="1569" w:type="dxa"/>
            <w:tcBorders>
              <w:top w:val="dashed" w:sz="6" w:space="0" w:color="000000"/>
              <w:left w:val="dashed" w:sz="6" w:space="0" w:color="000000"/>
              <w:bottom w:val="dashed" w:sz="6" w:space="0" w:color="000000"/>
              <w:right w:val="dashed" w:sz="6" w:space="0" w:color="000000"/>
            </w:tcBorders>
          </w:tcPr>
          <w:p w14:paraId="1B43A974" w14:textId="7196B1C9" w:rsidR="001F5915" w:rsidRDefault="00502BC4">
            <w:pPr>
              <w:widowControl w:val="0"/>
              <w:pBdr>
                <w:top w:val="nil"/>
                <w:left w:val="nil"/>
                <w:bottom w:val="nil"/>
                <w:right w:val="nil"/>
                <w:between w:val="nil"/>
              </w:pBdr>
              <w:spacing w:after="120"/>
              <w:rPr>
                <w:color w:val="000000"/>
              </w:rPr>
            </w:pPr>
            <w:r>
              <w:rPr>
                <w:color w:val="000000"/>
              </w:rPr>
              <w:t>NIE</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 xml:space="preserve">2.1.4 Skróty </w:t>
            </w:r>
            <w:r>
              <w:rPr>
                <w:color w:val="000000"/>
              </w:rPr>
              <w:lastRenderedPageBreak/>
              <w:t>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W sytuacji, gdy zostały zaimplementowane na stronie skróty klawiaturowe oparte tylko o litery, liczby, symbole lub znaki </w:t>
            </w:r>
            <w:r>
              <w:rPr>
                <w:color w:val="000000"/>
              </w:rPr>
              <w:lastRenderedPageBreak/>
              <w:t>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lastRenderedPageBreak/>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w:t>
            </w:r>
            <w:r>
              <w:rPr>
                <w:color w:val="000000"/>
              </w:rPr>
              <w:lastRenderedPageBreak/>
              <w:t>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Ruch lub miganie może być użyte w celu zwrócenia uwagi użytkownika 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lastRenderedPageBreak/>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2.3.1 Trzy błyski lub 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w:t>
            </w:r>
            <w:r>
              <w:rPr>
                <w:color w:val="000000"/>
              </w:rPr>
              <w:lastRenderedPageBreak/>
              <w:t>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xml:space="preserve">). Są one odpowiednio i powtarzalnie opisane w </w:t>
            </w:r>
            <w:r>
              <w:rPr>
                <w:color w:val="000000"/>
              </w:rPr>
              <w:lastRenderedPageBreak/>
              <w:t>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081EB2A8"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C21794">
              <w:rPr>
                <w:color w:val="000000"/>
              </w:rPr>
              <w:t xml:space="preserve"> danego wpisu.</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jest możliwość znalezienia innych podstron na stronie internetowej – przynajmniej na dwa sposoby z następujących: </w:t>
            </w:r>
            <w:r>
              <w:rPr>
                <w:color w:val="000000"/>
              </w:rPr>
              <w:lastRenderedPageBreak/>
              <w:t>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 xml:space="preserve">Wszystkie strony dostępne są z menu, które </w:t>
            </w:r>
            <w:r>
              <w:rPr>
                <w:color w:val="000000"/>
              </w:rPr>
              <w:lastRenderedPageBreak/>
              <w:t>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211F77DB" w14:textId="6F5A9FAD" w:rsidR="00A21087" w:rsidRDefault="00FD451B" w:rsidP="00FD451B">
            <w:pPr>
              <w:widowControl w:val="0"/>
              <w:pBdr>
                <w:top w:val="nil"/>
                <w:left w:val="nil"/>
                <w:bottom w:val="nil"/>
                <w:right w:val="nil"/>
                <w:between w:val="nil"/>
              </w:pBdr>
              <w:spacing w:after="120"/>
            </w:pPr>
            <w:r>
              <w:t>W aktualnościach na głównej stronie występuje zaznaczenie ramką.</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5875E0DF" w14:textId="77777777" w:rsidR="00CE4CC7" w:rsidRDefault="00F868A7" w:rsidP="00CE4CC7">
            <w:pPr>
              <w:widowControl w:val="0"/>
              <w:spacing w:after="120"/>
            </w:pPr>
            <w:r>
              <w:t>Nie wszystkie linki są jednoznaczne</w:t>
            </w:r>
            <w:r w:rsidR="00C21794">
              <w:t xml:space="preserve"> np. </w:t>
            </w:r>
            <w:r w:rsidR="00CE4CC7">
              <w:t>Program Studiów</w:t>
            </w:r>
            <w:r w:rsidR="00C21794">
              <w:t xml:space="preserve"> powtarzają się linki</w:t>
            </w:r>
            <w:r w:rsidR="00CE4CC7">
              <w:t xml:space="preserve"> np. </w:t>
            </w:r>
          </w:p>
          <w:p w14:paraId="44CEF4A5" w14:textId="6E4E76D5" w:rsidR="001F5915" w:rsidRDefault="00CE4CC7" w:rsidP="00CE4CC7">
            <w:pPr>
              <w:widowControl w:val="0"/>
              <w:spacing w:after="120"/>
            </w:pPr>
            <w:r>
              <w:t xml:space="preserve">studia stacjonarne </w:t>
            </w:r>
            <w:r w:rsidR="00C21794">
              <w:t xml:space="preserve"> I stopnia,</w:t>
            </w:r>
            <w:r>
              <w:t xml:space="preserve"> </w:t>
            </w:r>
            <w:r>
              <w:br/>
              <w:t>studia niestacjonarne</w:t>
            </w:r>
            <w:r w:rsidR="00C21794">
              <w:t xml:space="preserve"> I stopnia</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53266203" w:rsidR="001F5915" w:rsidRDefault="00F868A7">
            <w:pPr>
              <w:widowControl w:val="0"/>
              <w:pBdr>
                <w:top w:val="nil"/>
                <w:left w:val="nil"/>
                <w:bottom w:val="nil"/>
                <w:right w:val="nil"/>
                <w:between w:val="nil"/>
              </w:pBdr>
              <w:spacing w:after="120"/>
            </w:pPr>
            <w:r>
              <w:t xml:space="preserve">Istnieją spisy zawartości nieopatrzone tytułem (np. </w:t>
            </w:r>
            <w:r>
              <w:lastRenderedPageBreak/>
              <w:t>Aktualności</w:t>
            </w:r>
            <w:r w:rsidR="00120746">
              <w:t xml:space="preserve"> dla studentów czy Aktualności dla pracowników</w:t>
            </w:r>
            <w:bookmarkStart w:id="0" w:name="_GoBack"/>
            <w:bookmarkEnd w:id="0"/>
            <w:r>
              <w:t xml:space="preserve">).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xml:space="preserve">, itp.), która zawiera w </w:t>
            </w:r>
            <w:r>
              <w:rPr>
                <w:color w:val="000000"/>
              </w:rPr>
              <w:lastRenderedPageBreak/>
              <w:t>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w:t>
            </w:r>
            <w:r>
              <w:rPr>
                <w:color w:val="000000"/>
              </w:rPr>
              <w:lastRenderedPageBreak/>
              <w:t xml:space="preserve">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lastRenderedPageBreak/>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lastRenderedPageBreak/>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lastRenderedPageBreak/>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lastRenderedPageBreak/>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wszędzie tam, gdzie użytkownik może wprowadzać, zmieniać lub kasować informacje otrzymuje pełną informację o tym, </w:t>
            </w:r>
            <w:r>
              <w:rPr>
                <w:color w:val="000000"/>
              </w:rPr>
              <w:lastRenderedPageBreak/>
              <w:t>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lastRenderedPageBreak/>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xml:space="preserve">, głównie w części skryptów </w:t>
            </w:r>
            <w:r>
              <w:rPr>
                <w:color w:val="000000"/>
              </w:rPr>
              <w:lastRenderedPageBreak/>
              <w:t>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ED6EB" w14:textId="77777777" w:rsidR="009C1D4D" w:rsidRDefault="009C1D4D">
      <w:pPr>
        <w:spacing w:after="0" w:line="240" w:lineRule="auto"/>
      </w:pPr>
      <w:r>
        <w:separator/>
      </w:r>
    </w:p>
  </w:endnote>
  <w:endnote w:type="continuationSeparator" w:id="0">
    <w:p w14:paraId="00D3AD4F" w14:textId="77777777" w:rsidR="009C1D4D" w:rsidRDefault="009C1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388F4" w14:textId="77777777" w:rsidR="009C1D4D" w:rsidRDefault="009C1D4D">
      <w:pPr>
        <w:spacing w:after="0" w:line="240" w:lineRule="auto"/>
      </w:pPr>
      <w:r>
        <w:separator/>
      </w:r>
    </w:p>
  </w:footnote>
  <w:footnote w:type="continuationSeparator" w:id="0">
    <w:p w14:paraId="0C315BBF" w14:textId="77777777" w:rsidR="009C1D4D" w:rsidRDefault="009C1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7C53EC12" w:rsidR="00C21794" w:rsidRDefault="00C21794">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w:t>
    </w:r>
    <w:r w:rsidR="009A60F3">
      <w:rPr>
        <w:color w:val="575756"/>
        <w:sz w:val="14"/>
        <w:szCs w:val="14"/>
      </w:rPr>
      <w:t>EJ STRONY INTERNETOWEJ</w:t>
    </w:r>
    <w:r w:rsidR="009A60F3">
      <w:rPr>
        <w:color w:val="575756"/>
        <w:sz w:val="14"/>
        <w:szCs w:val="14"/>
      </w:rPr>
      <w:tab/>
      <w:t>WWW.FEM</w:t>
    </w:r>
    <w:r>
      <w:rPr>
        <w:color w:val="575756"/>
        <w:sz w:val="14"/>
        <w:szCs w:val="14"/>
      </w:rPr>
      <w:t>.PUT.POZNAN.PL</w:t>
    </w:r>
    <w:r>
      <w:rPr>
        <w:color w:val="575756"/>
        <w:sz w:val="14"/>
        <w:szCs w:val="14"/>
      </w:rPr>
      <w:tab/>
      <w:t>31.12.2021</w:t>
    </w:r>
  </w:p>
  <w:p w14:paraId="0B3764B7" w14:textId="77777777" w:rsidR="00C21794" w:rsidRDefault="00C21794">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F1A29"/>
    <w:rsid w:val="00120746"/>
    <w:rsid w:val="001B76A9"/>
    <w:rsid w:val="001F013F"/>
    <w:rsid w:val="001F5915"/>
    <w:rsid w:val="002F51E1"/>
    <w:rsid w:val="00404399"/>
    <w:rsid w:val="00423BCE"/>
    <w:rsid w:val="00502BC4"/>
    <w:rsid w:val="005E31AF"/>
    <w:rsid w:val="00600777"/>
    <w:rsid w:val="006222E9"/>
    <w:rsid w:val="00627530"/>
    <w:rsid w:val="006477DC"/>
    <w:rsid w:val="006A46F9"/>
    <w:rsid w:val="006D1E6C"/>
    <w:rsid w:val="007A4A83"/>
    <w:rsid w:val="007B33B5"/>
    <w:rsid w:val="007D5C75"/>
    <w:rsid w:val="00873E8A"/>
    <w:rsid w:val="008B66BF"/>
    <w:rsid w:val="008D2438"/>
    <w:rsid w:val="0095300A"/>
    <w:rsid w:val="009A60F3"/>
    <w:rsid w:val="009C1D4D"/>
    <w:rsid w:val="009D5014"/>
    <w:rsid w:val="00A21087"/>
    <w:rsid w:val="00A33E5E"/>
    <w:rsid w:val="00A93178"/>
    <w:rsid w:val="00C05A45"/>
    <w:rsid w:val="00C21794"/>
    <w:rsid w:val="00C27997"/>
    <w:rsid w:val="00C63013"/>
    <w:rsid w:val="00CE4CC7"/>
    <w:rsid w:val="00D5367F"/>
    <w:rsid w:val="00E95311"/>
    <w:rsid w:val="00F60938"/>
    <w:rsid w:val="00F868A7"/>
    <w:rsid w:val="00FD451B"/>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 w:type="character" w:customStyle="1" w:styleId="value">
    <w:name w:val="value"/>
    <w:basedOn w:val="Domylnaczcionkaakapitu"/>
    <w:rsid w:val="001B7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22</Pages>
  <Words>5681</Words>
  <Characters>34092</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10</cp:revision>
  <dcterms:created xsi:type="dcterms:W3CDTF">2021-12-30T10:59:00Z</dcterms:created>
  <dcterms:modified xsi:type="dcterms:W3CDTF">2021-12-30T12:56:00Z</dcterms:modified>
</cp:coreProperties>
</file>